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044A" w:rsidRDefault="00ED2A1B">
      <w:pPr>
        <w:pStyle w:val="Standard"/>
        <w:widowControl w:val="0"/>
        <w:jc w:val="center"/>
      </w:pPr>
      <w:r>
        <w:rPr>
          <w:noProof/>
        </w:rPr>
        <w:drawing>
          <wp:inline distT="0" distB="0" distL="0" distR="0">
            <wp:extent cx="1354317" cy="1294196"/>
            <wp:effectExtent l="0" t="0" r="0" b="1204"/>
            <wp:docPr id="1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lum bright="-50000"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54317" cy="12941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5C044A" w:rsidRDefault="00ED2A1B">
      <w:pPr>
        <w:pStyle w:val="Standard"/>
        <w:jc w:val="center"/>
      </w:pPr>
      <w:r>
        <w:rPr>
          <w:b/>
          <w:sz w:val="48"/>
          <w:szCs w:val="48"/>
        </w:rPr>
        <w:t>СОБРАНИЕ ДЕПУТАТОВ</w:t>
      </w:r>
    </w:p>
    <w:p w:rsidR="005C044A" w:rsidRDefault="00E10877">
      <w:pPr>
        <w:pStyle w:val="Standard"/>
        <w:jc w:val="center"/>
      </w:pPr>
      <w:r>
        <w:rPr>
          <w:b/>
          <w:sz w:val="48"/>
          <w:szCs w:val="48"/>
        </w:rPr>
        <w:t>КАСИНОВ</w:t>
      </w:r>
      <w:r w:rsidR="00ED2A1B">
        <w:rPr>
          <w:b/>
          <w:sz w:val="48"/>
          <w:szCs w:val="48"/>
        </w:rPr>
        <w:t>СКОГО СЕЛЬСОВЕТА</w:t>
      </w:r>
    </w:p>
    <w:p w:rsidR="005C044A" w:rsidRDefault="00ED2A1B">
      <w:pPr>
        <w:pStyle w:val="Standard"/>
        <w:jc w:val="center"/>
      </w:pPr>
      <w:r>
        <w:rPr>
          <w:sz w:val="40"/>
          <w:szCs w:val="40"/>
        </w:rPr>
        <w:t>ЩИГРОВСКОГО РАЙОНА КУРСКОЙ ОБЛАСТИ</w:t>
      </w:r>
    </w:p>
    <w:p w:rsidR="005C044A" w:rsidRDefault="005C044A">
      <w:pPr>
        <w:pStyle w:val="Standard"/>
        <w:rPr>
          <w:sz w:val="24"/>
          <w:szCs w:val="24"/>
        </w:rPr>
      </w:pPr>
    </w:p>
    <w:p w:rsidR="005C044A" w:rsidRDefault="00ED2A1B">
      <w:pPr>
        <w:pStyle w:val="Standard"/>
        <w:jc w:val="center"/>
      </w:pPr>
      <w:r>
        <w:rPr>
          <w:b/>
          <w:sz w:val="48"/>
          <w:szCs w:val="48"/>
        </w:rPr>
        <w:t>Р Е Ш Е Н И Е</w:t>
      </w:r>
    </w:p>
    <w:p w:rsidR="005C044A" w:rsidRDefault="005C044A">
      <w:pPr>
        <w:pStyle w:val="Standard"/>
        <w:widowControl w:val="0"/>
        <w:jc w:val="center"/>
        <w:rPr>
          <w:bCs/>
          <w:sz w:val="28"/>
          <w:szCs w:val="28"/>
        </w:rPr>
      </w:pPr>
    </w:p>
    <w:p w:rsidR="005C044A" w:rsidRDefault="00E10877">
      <w:pPr>
        <w:pStyle w:val="a3"/>
      </w:pPr>
      <w:r>
        <w:t>От  «25</w:t>
      </w:r>
      <w:r w:rsidR="00ED2A1B">
        <w:t xml:space="preserve">» ноября </w:t>
      </w:r>
      <w:r>
        <w:t xml:space="preserve"> 2020 года                 №  14-31</w:t>
      </w:r>
      <w:r w:rsidR="00ED2A1B">
        <w:t>-6</w:t>
      </w:r>
      <w:r w:rsidR="00ED2A1B">
        <w:t xml:space="preserve">                               </w:t>
      </w:r>
    </w:p>
    <w:p w:rsidR="005C044A" w:rsidRDefault="005C044A">
      <w:pPr>
        <w:pStyle w:val="Standard"/>
        <w:widowControl w:val="0"/>
        <w:rPr>
          <w:b/>
          <w:bCs/>
          <w:sz w:val="24"/>
          <w:szCs w:val="24"/>
        </w:rPr>
      </w:pPr>
    </w:p>
    <w:p w:rsidR="005C044A" w:rsidRDefault="00ED2A1B">
      <w:pPr>
        <w:pStyle w:val="Standard"/>
        <w:widowControl w:val="0"/>
      </w:pPr>
      <w:r>
        <w:rPr>
          <w:sz w:val="24"/>
          <w:szCs w:val="24"/>
        </w:rPr>
        <w:t xml:space="preserve">Об </w:t>
      </w:r>
      <w:r>
        <w:rPr>
          <w:bCs/>
          <w:sz w:val="24"/>
          <w:szCs w:val="24"/>
        </w:rPr>
        <w:t>осуществление Контрольно- ревизионной комиссией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муниципального образования «Щигровский район»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полномочий ревизионной комиссии поселения по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>внешнему финансовому контролю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</w:p>
    <w:p w:rsidR="005C044A" w:rsidRDefault="00ED2A1B">
      <w:pPr>
        <w:pStyle w:val="Standard"/>
        <w:widowControl w:val="0"/>
        <w:jc w:val="both"/>
      </w:pPr>
      <w:r>
        <w:rPr>
          <w:b/>
          <w:bCs/>
          <w:sz w:val="24"/>
          <w:szCs w:val="24"/>
        </w:rPr>
        <w:tab/>
      </w:r>
      <w:r>
        <w:rPr>
          <w:bCs/>
          <w:sz w:val="24"/>
          <w:szCs w:val="24"/>
        </w:rPr>
        <w:t>В соответствии со статьей 15 Федерального</w:t>
      </w:r>
      <w:r>
        <w:rPr>
          <w:bCs/>
          <w:sz w:val="24"/>
          <w:szCs w:val="24"/>
        </w:rPr>
        <w:t xml:space="preserve"> закона от 06.10.2003г. №131-ФЗ «Об общих принципах организации местного самоуправления в Российской Федерации», статьей 3 Федерального закона от 07.02.2011г. №6-ФЗ «Об общих принципах организации и деятельности контрольно-счетных органов субъектов Российс</w:t>
      </w:r>
      <w:r>
        <w:rPr>
          <w:bCs/>
          <w:sz w:val="24"/>
          <w:szCs w:val="24"/>
        </w:rPr>
        <w:t>кой Федерации и муниципальных образований», статьей 86 Бюджетного кодекса Российской Федерации, Уставом муниципального образования «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 xml:space="preserve">ский сельсовет» Щигровского района Курской области Собрание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ского сельсовета Щигровского рай</w:t>
      </w:r>
      <w:r>
        <w:rPr>
          <w:bCs/>
          <w:sz w:val="24"/>
          <w:szCs w:val="24"/>
        </w:rPr>
        <w:t>она Курской области</w:t>
      </w: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                         РЕШИЛО:</w:t>
      </w:r>
    </w:p>
    <w:p w:rsidR="005C044A" w:rsidRDefault="005C044A">
      <w:pPr>
        <w:pStyle w:val="Standard"/>
        <w:widowControl w:val="0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1.Передать контрольно – ревизионной комиссии муниципального образования «Щигровский район» полномочий по осуществлению внешнего финансового контроля с </w:t>
      </w:r>
      <w:r>
        <w:rPr>
          <w:bCs/>
          <w:sz w:val="24"/>
          <w:szCs w:val="24"/>
        </w:rPr>
        <w:t>01 января 2021 года по 31 декабря 2023 года.</w:t>
      </w:r>
    </w:p>
    <w:p w:rsidR="005C044A" w:rsidRDefault="005C044A">
      <w:pPr>
        <w:pStyle w:val="Standard"/>
        <w:widowControl w:val="0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2.Согласиться с прилагаемым Порядком расчета межбюджетных трансфертов на осуществление Контрольно - ревизионной комиссией муниципального образования «Щигровский район» полномочий контрольно-счетных органов посе</w:t>
      </w:r>
      <w:r>
        <w:rPr>
          <w:bCs/>
          <w:sz w:val="24"/>
          <w:szCs w:val="24"/>
        </w:rPr>
        <w:t>лений по внешнему финансовому контролю.</w:t>
      </w:r>
    </w:p>
    <w:p w:rsidR="005C044A" w:rsidRDefault="005C044A">
      <w:pPr>
        <w:pStyle w:val="a5"/>
      </w:pPr>
    </w:p>
    <w:p w:rsidR="005C044A" w:rsidRDefault="005C044A">
      <w:pPr>
        <w:pStyle w:val="Standard"/>
        <w:widowControl w:val="0"/>
        <w:ind w:left="1698"/>
        <w:jc w:val="both"/>
      </w:pPr>
    </w:p>
    <w:p w:rsidR="005C044A" w:rsidRDefault="00ED2A1B">
      <w:pPr>
        <w:pStyle w:val="Standard"/>
        <w:widowControl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3.Утвердить Порядок представления иных межбюджетных трансфертов из бюджета муниципального образования «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ский сельсовет» Щигровского района Курской области в бюджет муниципального района «Щигровский район»</w:t>
      </w:r>
      <w:r>
        <w:rPr>
          <w:bCs/>
          <w:sz w:val="24"/>
          <w:szCs w:val="24"/>
        </w:rPr>
        <w:t xml:space="preserve"> Курской области на осуществление полномочий внешнего финансового контроля согласно приложению.</w:t>
      </w:r>
    </w:p>
    <w:p w:rsidR="005C044A" w:rsidRDefault="005C044A">
      <w:pPr>
        <w:pStyle w:val="Standard"/>
        <w:widowControl w:val="0"/>
        <w:ind w:left="1698"/>
        <w:jc w:val="both"/>
      </w:pP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4.Поручить Председателю Собрания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</w:t>
      </w:r>
      <w:r w:rsidR="00E10877">
        <w:rPr>
          <w:bCs/>
          <w:sz w:val="24"/>
          <w:szCs w:val="24"/>
        </w:rPr>
        <w:t>кого сельсовета Авдеевой И.Е.</w:t>
      </w:r>
      <w:r>
        <w:rPr>
          <w:bCs/>
          <w:sz w:val="24"/>
          <w:szCs w:val="24"/>
        </w:rPr>
        <w:t xml:space="preserve"> подписать Соглашение с представительным органом Щигровского района Курс</w:t>
      </w:r>
      <w:r>
        <w:rPr>
          <w:bCs/>
          <w:sz w:val="24"/>
          <w:szCs w:val="24"/>
        </w:rPr>
        <w:t xml:space="preserve">кой области </w:t>
      </w:r>
      <w:r>
        <w:rPr>
          <w:sz w:val="24"/>
          <w:szCs w:val="24"/>
        </w:rPr>
        <w:t>о передаче контрольно-счетному органу Щигровского района полномочий  по осуществлению внешнего муниципального  финансового контроля.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lastRenderedPageBreak/>
        <w:t>5.Настоящее решение вступает в силу после официального обнародования.</w:t>
      </w:r>
    </w:p>
    <w:p w:rsidR="005C044A" w:rsidRDefault="005C044A">
      <w:pPr>
        <w:pStyle w:val="Standard"/>
        <w:widowControl w:val="0"/>
        <w:jc w:val="both"/>
        <w:rPr>
          <w:bCs/>
          <w:sz w:val="24"/>
          <w:szCs w:val="24"/>
        </w:rPr>
      </w:pPr>
    </w:p>
    <w:p w:rsidR="005C044A" w:rsidRDefault="005C044A">
      <w:pPr>
        <w:pStyle w:val="Standard"/>
        <w:widowControl w:val="0"/>
        <w:jc w:val="both"/>
        <w:rPr>
          <w:bCs/>
          <w:sz w:val="24"/>
          <w:szCs w:val="24"/>
        </w:rPr>
      </w:pP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Председатель Собрания депутатов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ского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 xml:space="preserve">сельсовета Щигровского района                                           </w:t>
      </w:r>
      <w:r w:rsidR="00E10877">
        <w:rPr>
          <w:bCs/>
          <w:sz w:val="24"/>
          <w:szCs w:val="24"/>
        </w:rPr>
        <w:t xml:space="preserve">                  И.Е.Авдеева</w:t>
      </w:r>
    </w:p>
    <w:p w:rsidR="005C044A" w:rsidRDefault="005C044A">
      <w:pPr>
        <w:pStyle w:val="Standard"/>
        <w:widowControl w:val="0"/>
        <w:jc w:val="center"/>
        <w:rPr>
          <w:bCs/>
          <w:sz w:val="24"/>
          <w:szCs w:val="24"/>
        </w:rPr>
      </w:pP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 xml:space="preserve">Глава </w:t>
      </w:r>
      <w:r w:rsidR="00E10877">
        <w:rPr>
          <w:bCs/>
          <w:sz w:val="24"/>
          <w:szCs w:val="24"/>
        </w:rPr>
        <w:t>Касинов</w:t>
      </w:r>
      <w:r>
        <w:rPr>
          <w:bCs/>
          <w:sz w:val="24"/>
          <w:szCs w:val="24"/>
        </w:rPr>
        <w:t>ского сельсовета</w:t>
      </w:r>
    </w:p>
    <w:p w:rsidR="005C044A" w:rsidRDefault="00ED2A1B">
      <w:pPr>
        <w:pStyle w:val="Standard"/>
        <w:widowControl w:val="0"/>
      </w:pPr>
      <w:r>
        <w:rPr>
          <w:bCs/>
          <w:sz w:val="24"/>
          <w:szCs w:val="24"/>
        </w:rPr>
        <w:t xml:space="preserve">Щигровского района                                                        </w:t>
      </w:r>
      <w:r w:rsidR="00E10877">
        <w:rPr>
          <w:bCs/>
          <w:sz w:val="24"/>
          <w:szCs w:val="24"/>
        </w:rPr>
        <w:t xml:space="preserve">                         В.А.Головин</w:t>
      </w: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5C044A" w:rsidRDefault="005C044A">
      <w:pPr>
        <w:pStyle w:val="Standard"/>
        <w:jc w:val="right"/>
      </w:pPr>
    </w:p>
    <w:p w:rsidR="00E10877" w:rsidRDefault="00E10877">
      <w:pPr>
        <w:pStyle w:val="Standard"/>
        <w:jc w:val="right"/>
        <w:rPr>
          <w:sz w:val="24"/>
          <w:szCs w:val="24"/>
        </w:rPr>
      </w:pP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lastRenderedPageBreak/>
        <w:t>Приложение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к решению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Собрания депутатов муниципального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образования «</w:t>
      </w:r>
      <w:r w:rsidR="00E10877">
        <w:rPr>
          <w:sz w:val="24"/>
          <w:szCs w:val="24"/>
        </w:rPr>
        <w:t>Касинов</w:t>
      </w:r>
      <w:r w:rsidRPr="00E10877">
        <w:rPr>
          <w:sz w:val="24"/>
          <w:szCs w:val="24"/>
        </w:rPr>
        <w:t>ский сельсовет»</w:t>
      </w:r>
    </w:p>
    <w:p w:rsidR="005C044A" w:rsidRPr="00E10877" w:rsidRDefault="00ED2A1B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Щигровского района Курской области</w:t>
      </w:r>
    </w:p>
    <w:p w:rsidR="005C044A" w:rsidRPr="00E10877" w:rsidRDefault="00E10877">
      <w:pPr>
        <w:pStyle w:val="Standard"/>
        <w:jc w:val="right"/>
        <w:rPr>
          <w:sz w:val="24"/>
          <w:szCs w:val="24"/>
        </w:rPr>
      </w:pPr>
      <w:r w:rsidRPr="00E10877">
        <w:rPr>
          <w:sz w:val="24"/>
          <w:szCs w:val="24"/>
        </w:rPr>
        <w:t>от 25.11.2020г. № 14-31</w:t>
      </w:r>
      <w:r w:rsidR="00ED2A1B" w:rsidRPr="00E10877">
        <w:rPr>
          <w:sz w:val="24"/>
          <w:szCs w:val="24"/>
        </w:rPr>
        <w:t>-6</w:t>
      </w:r>
    </w:p>
    <w:p w:rsidR="005C044A" w:rsidRDefault="005C044A">
      <w:pPr>
        <w:pStyle w:val="Standard"/>
        <w:jc w:val="right"/>
      </w:pPr>
    </w:p>
    <w:p w:rsidR="005C044A" w:rsidRDefault="00ED2A1B">
      <w:pPr>
        <w:pStyle w:val="Standard"/>
        <w:jc w:val="center"/>
      </w:pPr>
      <w:r>
        <w:rPr>
          <w:b/>
          <w:sz w:val="24"/>
          <w:szCs w:val="24"/>
        </w:rPr>
        <w:t>Порядок</w:t>
      </w:r>
    </w:p>
    <w:p w:rsidR="005C044A" w:rsidRDefault="00ED2A1B">
      <w:pPr>
        <w:pStyle w:val="Standard"/>
        <w:jc w:val="center"/>
      </w:pPr>
      <w:r>
        <w:rPr>
          <w:b/>
          <w:sz w:val="24"/>
          <w:szCs w:val="24"/>
        </w:rPr>
        <w:t xml:space="preserve">представления иных межбюджетных </w:t>
      </w:r>
      <w:r>
        <w:rPr>
          <w:b/>
          <w:sz w:val="24"/>
          <w:szCs w:val="24"/>
        </w:rPr>
        <w:t>трансфертов из бюджета муниципального образования «</w:t>
      </w:r>
      <w:r w:rsidR="00E10877">
        <w:rPr>
          <w:b/>
          <w:sz w:val="24"/>
          <w:szCs w:val="24"/>
        </w:rPr>
        <w:t>Касинов</w:t>
      </w:r>
      <w:r>
        <w:rPr>
          <w:b/>
          <w:sz w:val="24"/>
          <w:szCs w:val="24"/>
        </w:rPr>
        <w:t>ский сельсовет» Щигровского района Курской области на осуществление полномочий по осуществлению внешнего финансового контроля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Настоящий Порядок представления иных межбюджетных трансфертов из </w:t>
      </w:r>
      <w:r>
        <w:rPr>
          <w:sz w:val="24"/>
          <w:szCs w:val="24"/>
        </w:rPr>
        <w:t>бюджета муниципального образования «</w:t>
      </w:r>
      <w:r w:rsidR="00E10877">
        <w:rPr>
          <w:sz w:val="24"/>
          <w:szCs w:val="24"/>
        </w:rPr>
        <w:t>Касинов</w:t>
      </w:r>
      <w:r>
        <w:rPr>
          <w:sz w:val="24"/>
          <w:szCs w:val="24"/>
        </w:rPr>
        <w:t>ский сельсовет» Щигровского района Курской области в бюджет муниципального района «Щигровский район» Курской области на осуществление полномочий по осуществлению внешнего финансового контроля устанавливает пра</w:t>
      </w:r>
      <w:r>
        <w:rPr>
          <w:sz w:val="24"/>
          <w:szCs w:val="24"/>
        </w:rPr>
        <w:t>вила предоставления иных межбюджетных трансфертов.</w:t>
      </w:r>
    </w:p>
    <w:p w:rsidR="005C044A" w:rsidRDefault="00ED2A1B">
      <w:pPr>
        <w:pStyle w:val="Standard"/>
        <w:ind w:firstLine="360"/>
        <w:jc w:val="both"/>
      </w:pPr>
      <w:r>
        <w:rPr>
          <w:sz w:val="24"/>
          <w:szCs w:val="24"/>
        </w:rPr>
        <w:t xml:space="preserve">2. Размер иных межбюджетных трансфертов определяется в соответствии с Порядком расчета межбюджетных трансфертов на осуществлении </w:t>
      </w:r>
      <w:r>
        <w:rPr>
          <w:bCs/>
          <w:sz w:val="24"/>
          <w:szCs w:val="24"/>
        </w:rPr>
        <w:t>Контрольно - ревизионной комиссией муниципального образования «Щигровский ра</w:t>
      </w:r>
      <w:r>
        <w:rPr>
          <w:bCs/>
          <w:sz w:val="24"/>
          <w:szCs w:val="24"/>
        </w:rPr>
        <w:t>йон» полномочий контрольно-счетных органов поселений по внешнему финансовому контролю.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3. Иные межбюджетные трансферты перечисляются из бюджета поселений в бюджет муниципального района два раза в год равными долями сроком до 21 января и до 25 июня финансов</w:t>
      </w:r>
      <w:r>
        <w:rPr>
          <w:bCs/>
          <w:sz w:val="24"/>
          <w:szCs w:val="24"/>
        </w:rPr>
        <w:t>ого года.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4. Расходы бюджета поселения на предоставления межбюджетных трансфертов и расходы бюджета муниципального района, осуществляемые за счет межбюджетных трансфертов, планируются и исполняются по разделу бюджетной классификации 901202400140500001510</w:t>
      </w:r>
      <w:bookmarkStart w:id="0" w:name="_GoBack"/>
      <w:bookmarkEnd w:id="0"/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>5</w:t>
      </w:r>
      <w:r>
        <w:rPr>
          <w:bCs/>
          <w:sz w:val="24"/>
          <w:szCs w:val="24"/>
        </w:rPr>
        <w:t>. Межбюджетные трансферты зачисляются в бюджет муниципального района по соответствующему коду бюджетной классификации доходов.</w:t>
      </w:r>
    </w:p>
    <w:p w:rsidR="005C044A" w:rsidRDefault="00ED2A1B">
      <w:pPr>
        <w:pStyle w:val="Standard"/>
        <w:ind w:firstLine="360"/>
        <w:jc w:val="both"/>
      </w:pPr>
      <w:r>
        <w:rPr>
          <w:bCs/>
          <w:sz w:val="24"/>
          <w:szCs w:val="24"/>
        </w:rPr>
        <w:t xml:space="preserve">6. Район обеспечивает целевое использование межбюджетных трансфертов, поступивших на выполнение полномочий по Соглашению о </w:t>
      </w:r>
      <w:r>
        <w:rPr>
          <w:bCs/>
          <w:sz w:val="24"/>
          <w:szCs w:val="24"/>
        </w:rPr>
        <w:t xml:space="preserve">передачи полномочий по осуществлению внешнего финансового контроля в соответствии с Порядком расчета, перечисления и использования межбюджетных трансфертов, на выполнение полномочий поселений по осуществлению внешнего финансового контроля и информирует об </w:t>
      </w:r>
      <w:r>
        <w:rPr>
          <w:bCs/>
          <w:sz w:val="24"/>
          <w:szCs w:val="24"/>
        </w:rPr>
        <w:t>использовании иных межбюджетных трансфертов по запросу.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7. Остаток иных межбюджетных трансфертов подлежит возврату в бюджет поселения.</w:t>
      </w:r>
    </w:p>
    <w:p w:rsidR="005C044A" w:rsidRDefault="00ED2A1B">
      <w:pPr>
        <w:pStyle w:val="Standard"/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8. Объем межбюджетных трансфертов на 2021-2023 годы определяется Соглашением по передачи полномочий по осуществлению внеш</w:t>
      </w:r>
      <w:r>
        <w:rPr>
          <w:sz w:val="24"/>
          <w:szCs w:val="24"/>
        </w:rPr>
        <w:t>него финансового контроля.</w:t>
      </w:r>
    </w:p>
    <w:p w:rsidR="005C044A" w:rsidRDefault="005C044A">
      <w:pPr>
        <w:pStyle w:val="Standard"/>
        <w:jc w:val="center"/>
        <w:rPr>
          <w:sz w:val="24"/>
          <w:szCs w:val="24"/>
        </w:rPr>
      </w:pPr>
    </w:p>
    <w:p w:rsidR="005C044A" w:rsidRDefault="005C044A">
      <w:pPr>
        <w:pStyle w:val="Standard"/>
        <w:widowControl w:val="0"/>
        <w:jc w:val="center"/>
        <w:rPr>
          <w:b/>
          <w:bCs/>
          <w:sz w:val="24"/>
          <w:szCs w:val="24"/>
        </w:rPr>
      </w:pP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ПОРЯДОК</w:t>
      </w: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расчета межбюджетных трансфертов на осуществление</w:t>
      </w:r>
    </w:p>
    <w:p w:rsidR="005C044A" w:rsidRDefault="00ED2A1B">
      <w:pPr>
        <w:pStyle w:val="Standard"/>
        <w:widowControl w:val="0"/>
        <w:jc w:val="center"/>
      </w:pPr>
      <w:r>
        <w:rPr>
          <w:b/>
          <w:bCs/>
          <w:sz w:val="24"/>
          <w:szCs w:val="24"/>
        </w:rPr>
        <w:t>Контрольно-ревизионной комиссии муниципального образования «Щигровский район» полномочий  контрольно-счетных органов поселений по внешнему финансовому контролю.</w:t>
      </w:r>
    </w:p>
    <w:p w:rsidR="005C044A" w:rsidRDefault="005C044A">
      <w:pPr>
        <w:pStyle w:val="Standard"/>
        <w:widowControl w:val="0"/>
        <w:rPr>
          <w:sz w:val="24"/>
          <w:szCs w:val="24"/>
        </w:rPr>
      </w:pP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1. В це</w:t>
      </w:r>
      <w:r>
        <w:rPr>
          <w:bCs/>
          <w:sz w:val="24"/>
          <w:szCs w:val="24"/>
        </w:rPr>
        <w:t>лях настоящего  Порядка  и в соответствии с постановлением Администрации Курской области от 22.10.2012г. №917-па «Об утверждении на 2013 год нормативов формирования расходов на содержание органов местного самоуправления муниципальных образований Курской об</w:t>
      </w:r>
      <w:r>
        <w:rPr>
          <w:bCs/>
          <w:sz w:val="24"/>
          <w:szCs w:val="24"/>
        </w:rPr>
        <w:t>ласти» дополнительная численность работников контрольно-счетных органов для муниципальных районов учтена в количестве 1 единиц, для каждого поселения – в количестве 1 единицы.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lastRenderedPageBreak/>
        <w:t>2. Общий размер межбюджетного трансферта определяется по формуле: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ОРТ= Дч Х Норм</w:t>
      </w:r>
      <w:r>
        <w:rPr>
          <w:bCs/>
          <w:sz w:val="24"/>
          <w:szCs w:val="24"/>
        </w:rPr>
        <w:t>, где: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ОРТ– общий размер трансферта;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Дч – дополнительная численность работников контрольно-счетного органа муниципального района по осуществлению полномочий контрольно-счетных органов поселений по внешнему финансовому контролю;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 xml:space="preserve">Норм – норматив потребности </w:t>
      </w:r>
      <w:r>
        <w:rPr>
          <w:bCs/>
          <w:sz w:val="24"/>
          <w:szCs w:val="24"/>
        </w:rPr>
        <w:t>в бюджетных средствах на осуществление полномочий контрольно-счетных органов поселений по внешнему финансовому контролю.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В указанный норматив включаются: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1) заработная плата сотрудника контрольно-счетного органа со всеми   надбавками, по должностям, предус</w:t>
      </w:r>
      <w:r>
        <w:rPr>
          <w:bCs/>
          <w:sz w:val="24"/>
          <w:szCs w:val="24"/>
        </w:rPr>
        <w:t>мотренным  Законом Курской области 13.06.2007г. №60-ЗКО «О муниципальной службе в Курской области» и Решением Представительного Собрания Щигровского района Курской области от 29.01.2013г. №212-2-ПС;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 xml:space="preserve">2) почтовые, транспортные, командировочные, канцелярские </w:t>
      </w:r>
      <w:r>
        <w:rPr>
          <w:bCs/>
          <w:sz w:val="24"/>
          <w:szCs w:val="24"/>
        </w:rPr>
        <w:t>и другие расходы;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3) расходы на повышение квалификации сотрудников контрольно-счетных органов, финансируемых за счет указанных межбюджетных трансфертов, осуществляемой не реже 1 раза в три года;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4) расходы на телефон, электроэнергию, отопление, аренду поме</w:t>
      </w:r>
      <w:r>
        <w:rPr>
          <w:bCs/>
          <w:sz w:val="24"/>
          <w:szCs w:val="24"/>
        </w:rPr>
        <w:t>щения (в случае невозможности расположения сотрудников контрольно-счетного органа, финансируемых за счет указанных межбюджетный трансфертов, в помещениях, занимаемых контрольно-счетным органом Представительного Собрания муниципального района;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5) расходы на</w:t>
      </w:r>
      <w:r>
        <w:rPr>
          <w:bCs/>
          <w:sz w:val="24"/>
          <w:szCs w:val="24"/>
        </w:rPr>
        <w:t xml:space="preserve"> приобретение основных средств (компьютерной и копировальной техники), обучающей литературы.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Указанный норматив рассчитывается органами местного самоуправления и ежегодно, при составлении бюджета, индексируется на уровень инфляции рекомендуемый Минэкономра</w:t>
      </w:r>
      <w:r>
        <w:rPr>
          <w:bCs/>
          <w:sz w:val="24"/>
          <w:szCs w:val="24"/>
        </w:rPr>
        <w:t>звития России.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3. Размер межбюджетного трансферта, передаваемый поселением в представительный орган (контрольно-счетный орган) муниципального района на исполнение переданных полномочий определяется по формуле:</w:t>
      </w:r>
    </w:p>
    <w:p w:rsidR="005C044A" w:rsidRDefault="00ED2A1B">
      <w:pPr>
        <w:pStyle w:val="Standard"/>
        <w:widowControl w:val="0"/>
        <w:jc w:val="both"/>
      </w:pPr>
      <w:r>
        <w:rPr>
          <w:bCs/>
          <w:sz w:val="24"/>
          <w:szCs w:val="24"/>
        </w:rPr>
        <w:tab/>
        <w:t>ТР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= ОРТ/Ч где: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ТР</w:t>
      </w: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– размер межбюджетного </w:t>
      </w:r>
      <w:r>
        <w:rPr>
          <w:bCs/>
          <w:sz w:val="24"/>
          <w:szCs w:val="24"/>
        </w:rPr>
        <w:t>трансферта передаваемый поселением в представительный орган (контрольно-счетный орган) муниципального района на исполнение переданных полномочий;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  <w:lang w:val="en-US"/>
        </w:rPr>
        <w:t>i</w:t>
      </w:r>
      <w:r>
        <w:rPr>
          <w:bCs/>
          <w:sz w:val="24"/>
          <w:szCs w:val="24"/>
        </w:rPr>
        <w:t xml:space="preserve"> – соответствующее поселение;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 xml:space="preserve">Ч – количество поселений, передающих муниципальному району полномочия по </w:t>
      </w:r>
      <w:r>
        <w:rPr>
          <w:bCs/>
          <w:sz w:val="24"/>
          <w:szCs w:val="24"/>
        </w:rPr>
        <w:t>осуществлению внешнего финансового контроля.</w:t>
      </w:r>
    </w:p>
    <w:p w:rsidR="005C044A" w:rsidRDefault="00ED2A1B">
      <w:pPr>
        <w:pStyle w:val="Standard"/>
        <w:widowControl w:val="0"/>
        <w:ind w:firstLine="708"/>
        <w:jc w:val="both"/>
      </w:pPr>
      <w:r>
        <w:rPr>
          <w:bCs/>
          <w:sz w:val="24"/>
          <w:szCs w:val="24"/>
        </w:rPr>
        <w:t>4. Передаваемые поселениями межбюджетные трансферты на исполнение переданных полномочий в полном объеме учитываются в доходах бюджета муниципального района и расходуются на нужды контрольно-счетного органа в соо</w:t>
      </w:r>
      <w:r>
        <w:rPr>
          <w:bCs/>
          <w:sz w:val="24"/>
          <w:szCs w:val="24"/>
        </w:rPr>
        <w:t>тветствии с установленным нормативом и приказом Минфина России от 21.12.2011г. №180-н «Об утверждении Указаний о порядке применения бюджетной классификации Российской Федерации» по соответствующим видам расходов.</w:t>
      </w:r>
    </w:p>
    <w:sectPr w:rsidR="005C044A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A1B" w:rsidRDefault="00ED2A1B">
      <w:pPr>
        <w:spacing w:after="0" w:line="240" w:lineRule="auto"/>
      </w:pPr>
      <w:r>
        <w:separator/>
      </w:r>
    </w:p>
  </w:endnote>
  <w:endnote w:type="continuationSeparator" w:id="0">
    <w:p w:rsidR="00ED2A1B" w:rsidRDefault="00ED2A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A1B" w:rsidRDefault="00ED2A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ED2A1B" w:rsidRDefault="00ED2A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D0DC5"/>
    <w:multiLevelType w:val="multilevel"/>
    <w:tmpl w:val="01BE3E5A"/>
    <w:styleLink w:val="WW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1.%2.%3."/>
      <w:lvlJc w:val="right"/>
    </w:lvl>
    <w:lvl w:ilvl="3">
      <w:start w:val="1"/>
      <w:numFmt w:val="decimal"/>
      <w:lvlText w:val="%1.%2.%3.%4."/>
      <w:lvlJc w:val="left"/>
    </w:lvl>
    <w:lvl w:ilvl="4">
      <w:start w:val="1"/>
      <w:numFmt w:val="lowerLetter"/>
      <w:lvlText w:val="%1.%2.%3.%4.%5."/>
      <w:lvlJc w:val="left"/>
    </w:lvl>
    <w:lvl w:ilvl="5">
      <w:start w:val="1"/>
      <w:numFmt w:val="lowerRoman"/>
      <w:lvlText w:val="%1.%2.%3.%4.%5.%6."/>
      <w:lvlJc w:val="right"/>
    </w:lvl>
    <w:lvl w:ilvl="6">
      <w:start w:val="1"/>
      <w:numFmt w:val="decimal"/>
      <w:lvlText w:val="%1.%2.%3.%4.%5.%6.%7."/>
      <w:lvlJc w:val="left"/>
    </w:lvl>
    <w:lvl w:ilvl="7">
      <w:start w:val="1"/>
      <w:numFmt w:val="lowerLetter"/>
      <w:lvlText w:val="%1.%2.%3.%4.%5.%6.%7.%8."/>
      <w:lvlJc w:val="left"/>
    </w:lvl>
    <w:lvl w:ilvl="8">
      <w:start w:val="1"/>
      <w:numFmt w:val="lowerRoman"/>
      <w:lvlText w:val="%1.%2.%3.%4.%5.%6.%7.%8.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5C044A"/>
    <w:rsid w:val="005C044A"/>
    <w:rsid w:val="00E10877"/>
    <w:rsid w:val="00ED2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F787C8C-B5AD-4640-8C8E-D349A4F05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ru-RU" w:eastAsia="en-US" w:bidi="ar-SA"/>
      </w:rPr>
    </w:rPrDefault>
    <w:pPrDefault>
      <w:pPr>
        <w:widowControl w:val="0"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3">
    <w:name w:val="List"/>
    <w:basedOn w:val="Standard"/>
    <w:pPr>
      <w:overflowPunct w:val="0"/>
      <w:ind w:left="283" w:hanging="283"/>
    </w:pPr>
    <w:rPr>
      <w:rFonts w:cs="Mangal"/>
      <w:sz w:val="24"/>
      <w:szCs w:val="24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List Paragraph"/>
    <w:basedOn w:val="Standard"/>
    <w:pPr>
      <w:overflowPunct w:val="0"/>
      <w:ind w:left="720"/>
    </w:pPr>
    <w:rPr>
      <w:sz w:val="24"/>
      <w:szCs w:val="24"/>
    </w:rPr>
  </w:style>
  <w:style w:type="paragraph" w:styleId="a6">
    <w:name w:val="Balloon Text"/>
    <w:basedOn w:val="Standar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WWNum1">
    <w:name w:val="WWNum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1191</Words>
  <Characters>6794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Name</dc:creator>
  <cp:lastModifiedBy>Admin</cp:lastModifiedBy>
  <cp:revision>2</cp:revision>
  <dcterms:created xsi:type="dcterms:W3CDTF">2020-11-24T07:51:00Z</dcterms:created>
  <dcterms:modified xsi:type="dcterms:W3CDTF">2020-11-24T07:51:00Z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Home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